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DBA" w:rsidRDefault="00C63DBA" w:rsidP="00442D57">
      <w:pPr>
        <w:spacing w:line="288" w:lineRule="auto"/>
        <w:jc w:val="both"/>
        <w:rPr>
          <w:rFonts w:ascii="Calibri" w:hAnsi="Calibri" w:cs="Calibri"/>
          <w:b/>
          <w:bCs/>
          <w:iCs/>
          <w:color w:val="000000"/>
        </w:rPr>
      </w:pPr>
    </w:p>
    <w:p w:rsidR="00C63DBA" w:rsidRPr="00C63DBA" w:rsidRDefault="00C63DBA" w:rsidP="00C63DBA">
      <w:pPr>
        <w:spacing w:after="160" w:line="259" w:lineRule="auto"/>
        <w:ind w:firstLine="720"/>
        <w:rPr>
          <w:rFonts w:asciiTheme="minorHAnsi" w:eastAsiaTheme="minorHAnsi" w:hAnsiTheme="minorHAnsi" w:cstheme="minorHAnsi"/>
          <w:bCs/>
          <w:lang w:eastAsia="en-US"/>
        </w:rPr>
      </w:pPr>
      <w:r w:rsidRPr="00C63DBA">
        <w:rPr>
          <w:rFonts w:asciiTheme="minorHAnsi" w:eastAsiaTheme="minorHAnsi" w:hAnsiTheme="minorHAnsi" w:cstheme="minorHAnsi"/>
          <w:noProof/>
          <w:lang w:eastAsia="en-US"/>
        </w:rPr>
        <w:drawing>
          <wp:inline distT="0" distB="0" distL="0" distR="0" wp14:anchorId="72CB2567" wp14:editId="7666E4D0">
            <wp:extent cx="1962150" cy="7334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733425"/>
                    </a:xfrm>
                    <a:prstGeom prst="rect">
                      <a:avLst/>
                    </a:prstGeom>
                    <a:noFill/>
                    <a:ln>
                      <a:noFill/>
                    </a:ln>
                  </pic:spPr>
                </pic:pic>
              </a:graphicData>
            </a:graphic>
          </wp:inline>
        </w:drawing>
      </w:r>
      <w:r w:rsidRPr="00C63DBA">
        <w:rPr>
          <w:rFonts w:asciiTheme="minorHAnsi" w:eastAsiaTheme="minorHAnsi" w:hAnsiTheme="minorHAnsi" w:cstheme="minorBidi"/>
          <w:sz w:val="22"/>
          <w:szCs w:val="22"/>
          <w:lang w:eastAsia="en-US"/>
        </w:rPr>
        <w:t xml:space="preserve"> </w:t>
      </w:r>
    </w:p>
    <w:p w:rsidR="00C63DBA" w:rsidRPr="00C63DBA" w:rsidRDefault="00C63DBA" w:rsidP="00C63DBA">
      <w:pPr>
        <w:spacing w:after="160" w:line="259" w:lineRule="auto"/>
        <w:rPr>
          <w:rFonts w:asciiTheme="minorHAnsi" w:eastAsiaTheme="minorHAnsi" w:hAnsiTheme="minorHAnsi" w:cstheme="minorBidi"/>
          <w:sz w:val="22"/>
          <w:szCs w:val="22"/>
          <w:lang w:val="en-US" w:eastAsia="en-US"/>
        </w:rPr>
      </w:pPr>
    </w:p>
    <w:p w:rsidR="00C63DBA" w:rsidRDefault="00C63DBA" w:rsidP="00442D57">
      <w:pPr>
        <w:spacing w:line="288" w:lineRule="auto"/>
        <w:jc w:val="both"/>
        <w:rPr>
          <w:rFonts w:ascii="Calibri" w:hAnsi="Calibri" w:cs="Calibri"/>
          <w:b/>
          <w:bCs/>
          <w:iCs/>
          <w:color w:val="000000"/>
        </w:rPr>
      </w:pP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t xml:space="preserve">ΔΕΛΤΙΟ ΤΥΠΟΥ </w:t>
      </w:r>
    </w:p>
    <w:p w:rsidR="00C63DBA" w:rsidRDefault="00C63DBA" w:rsidP="00442D57">
      <w:pPr>
        <w:spacing w:line="288" w:lineRule="auto"/>
        <w:jc w:val="both"/>
        <w:rPr>
          <w:rFonts w:ascii="Calibri" w:hAnsi="Calibri" w:cs="Calibri"/>
          <w:b/>
          <w:bCs/>
          <w:iCs/>
          <w:color w:val="000000"/>
        </w:rPr>
      </w:pPr>
    </w:p>
    <w:p w:rsidR="00C63DBA" w:rsidRDefault="00C63DBA" w:rsidP="00442D57">
      <w:pPr>
        <w:spacing w:line="288" w:lineRule="auto"/>
        <w:jc w:val="both"/>
        <w:rPr>
          <w:rFonts w:ascii="Calibri" w:hAnsi="Calibri" w:cs="Calibri"/>
          <w:b/>
          <w:bCs/>
          <w:iCs/>
          <w:color w:val="000000"/>
        </w:rPr>
      </w:pP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r>
      <w:r>
        <w:rPr>
          <w:rFonts w:ascii="Calibri" w:hAnsi="Calibri" w:cs="Calibri"/>
          <w:b/>
          <w:bCs/>
          <w:iCs/>
          <w:color w:val="000000"/>
        </w:rPr>
        <w:tab/>
        <w:t>13.06.2023</w:t>
      </w:r>
      <w:bookmarkStart w:id="0" w:name="_GoBack"/>
      <w:bookmarkEnd w:id="0"/>
    </w:p>
    <w:p w:rsidR="00C63DBA" w:rsidRDefault="00C63DBA" w:rsidP="00442D57">
      <w:pPr>
        <w:spacing w:line="288" w:lineRule="auto"/>
        <w:jc w:val="both"/>
        <w:rPr>
          <w:rFonts w:ascii="Calibri" w:hAnsi="Calibri" w:cs="Calibri"/>
          <w:b/>
          <w:bCs/>
          <w:iCs/>
          <w:color w:val="000000"/>
        </w:rPr>
      </w:pPr>
    </w:p>
    <w:p w:rsidR="00C63DBA" w:rsidRDefault="00C63DBA" w:rsidP="00442D57">
      <w:pPr>
        <w:spacing w:line="288" w:lineRule="auto"/>
        <w:jc w:val="both"/>
        <w:rPr>
          <w:rFonts w:ascii="Calibri" w:hAnsi="Calibri" w:cs="Calibri"/>
          <w:b/>
          <w:bCs/>
          <w:iCs/>
          <w:color w:val="000000"/>
        </w:rPr>
      </w:pPr>
    </w:p>
    <w:p w:rsidR="00442D57" w:rsidRDefault="005559BB" w:rsidP="00442D57">
      <w:pPr>
        <w:spacing w:line="288" w:lineRule="auto"/>
        <w:jc w:val="both"/>
        <w:rPr>
          <w:rFonts w:ascii="Calibri" w:hAnsi="Calibri" w:cs="Calibri"/>
          <w:b/>
          <w:bCs/>
          <w:iCs/>
          <w:color w:val="000000"/>
        </w:rPr>
      </w:pPr>
      <w:r>
        <w:rPr>
          <w:rFonts w:ascii="Calibri" w:hAnsi="Calibri" w:cs="Calibri"/>
          <w:b/>
          <w:bCs/>
          <w:iCs/>
          <w:color w:val="000000"/>
        </w:rPr>
        <w:t xml:space="preserve">Θέμα: </w:t>
      </w:r>
      <w:r w:rsidR="00442D57" w:rsidRPr="00E23A3B">
        <w:rPr>
          <w:rFonts w:ascii="Calibri" w:hAnsi="Calibri" w:cs="Calibri"/>
          <w:b/>
          <w:bCs/>
          <w:iCs/>
          <w:color w:val="000000"/>
        </w:rPr>
        <w:t>Σφράγιση</w:t>
      </w:r>
      <w:r w:rsidR="00442D57">
        <w:rPr>
          <w:rFonts w:ascii="Calibri" w:hAnsi="Calibri" w:cs="Calibri"/>
          <w:b/>
          <w:bCs/>
          <w:iCs/>
          <w:color w:val="000000"/>
        </w:rPr>
        <w:t xml:space="preserve"> επιχείρησης</w:t>
      </w:r>
      <w:r w:rsidR="00442D57" w:rsidRPr="00E23A3B">
        <w:rPr>
          <w:rFonts w:ascii="Calibri" w:hAnsi="Calibri" w:cs="Calibri"/>
          <w:b/>
          <w:bCs/>
          <w:iCs/>
          <w:color w:val="000000"/>
        </w:rPr>
        <w:t xml:space="preserve"> </w:t>
      </w:r>
      <w:proofErr w:type="spellStart"/>
      <w:r w:rsidR="00442D57" w:rsidRPr="00E23A3B">
        <w:rPr>
          <w:rFonts w:ascii="Calibri" w:hAnsi="Calibri" w:cs="Calibri"/>
          <w:b/>
          <w:bCs/>
          <w:iCs/>
          <w:color w:val="000000"/>
        </w:rPr>
        <w:t>Λούνα</w:t>
      </w:r>
      <w:proofErr w:type="spellEnd"/>
      <w:r w:rsidR="00442D57" w:rsidRPr="00E23A3B">
        <w:rPr>
          <w:rFonts w:ascii="Calibri" w:hAnsi="Calibri" w:cs="Calibri"/>
          <w:b/>
          <w:bCs/>
          <w:iCs/>
          <w:color w:val="000000"/>
        </w:rPr>
        <w:t xml:space="preserve"> Παρκ</w:t>
      </w:r>
    </w:p>
    <w:p w:rsidR="00442D57" w:rsidRPr="006938AF" w:rsidRDefault="00442D57" w:rsidP="00442D57">
      <w:pPr>
        <w:spacing w:line="288" w:lineRule="auto"/>
        <w:jc w:val="both"/>
        <w:rPr>
          <w:rFonts w:ascii="Calibri" w:eastAsia="Calibri" w:hAnsi="Calibri" w:cs="Calibri"/>
          <w:sz w:val="22"/>
          <w:szCs w:val="22"/>
          <w:lang w:eastAsia="en-US"/>
        </w:rPr>
      </w:pPr>
    </w:p>
    <w:p w:rsidR="00442D57" w:rsidRDefault="00442D57" w:rsidP="00442D57">
      <w:pPr>
        <w:spacing w:line="259" w:lineRule="auto"/>
        <w:jc w:val="both"/>
        <w:rPr>
          <w:rFonts w:ascii="Calibri" w:eastAsia="Calibri" w:hAnsi="Calibri" w:cs="Calibri"/>
          <w:sz w:val="22"/>
          <w:szCs w:val="22"/>
          <w:lang w:eastAsia="en-US"/>
        </w:rPr>
      </w:pPr>
      <w:r w:rsidRPr="006938AF">
        <w:rPr>
          <w:rFonts w:ascii="Calibri" w:eastAsia="Calibri" w:hAnsi="Calibri" w:cs="Calibri"/>
          <w:sz w:val="22"/>
          <w:szCs w:val="22"/>
          <w:lang w:eastAsia="en-US"/>
        </w:rPr>
        <w:t xml:space="preserve">Η ΕΑΔ εξέδωσε αυτεπάγγελτα Εντολή Ελέγχου της νομιμότητας </w:t>
      </w:r>
      <w:proofErr w:type="spellStart"/>
      <w:r w:rsidRPr="006938AF">
        <w:rPr>
          <w:rFonts w:ascii="Calibri" w:eastAsia="Calibri" w:hAnsi="Calibri" w:cs="Calibri"/>
          <w:sz w:val="22"/>
          <w:szCs w:val="22"/>
          <w:lang w:eastAsia="en-US"/>
        </w:rPr>
        <w:t>αδειοδότησης</w:t>
      </w:r>
      <w:proofErr w:type="spellEnd"/>
      <w:r w:rsidRPr="006938AF">
        <w:rPr>
          <w:rFonts w:ascii="Calibri" w:eastAsia="Calibri" w:hAnsi="Calibri" w:cs="Calibri"/>
          <w:sz w:val="22"/>
          <w:szCs w:val="22"/>
          <w:lang w:eastAsia="en-US"/>
        </w:rPr>
        <w:t xml:space="preserve"> και λειτουργίας δραστηριότητας </w:t>
      </w:r>
      <w:proofErr w:type="spellStart"/>
      <w:r w:rsidRPr="006938AF">
        <w:rPr>
          <w:rFonts w:ascii="Calibri" w:eastAsia="Calibri" w:hAnsi="Calibri" w:cs="Calibri"/>
          <w:sz w:val="22"/>
          <w:szCs w:val="22"/>
          <w:lang w:eastAsia="en-US"/>
        </w:rPr>
        <w:t>Λούνα</w:t>
      </w:r>
      <w:proofErr w:type="spellEnd"/>
      <w:r w:rsidRPr="006938AF">
        <w:rPr>
          <w:rFonts w:ascii="Calibri" w:eastAsia="Calibri" w:hAnsi="Calibri" w:cs="Calibri"/>
          <w:sz w:val="22"/>
          <w:szCs w:val="22"/>
          <w:lang w:eastAsia="en-US"/>
        </w:rPr>
        <w:t xml:space="preserve"> Παρκ, όταν κατά τη διάρκεια προκαταρκτικής διερεύνησης καταγγελίας </w:t>
      </w:r>
      <w:r>
        <w:rPr>
          <w:rFonts w:ascii="Calibri" w:eastAsia="Calibri" w:hAnsi="Calibri" w:cs="Calibri"/>
          <w:sz w:val="22"/>
          <w:szCs w:val="22"/>
          <w:lang w:eastAsia="en-US"/>
        </w:rPr>
        <w:t xml:space="preserve">που αφορούσε </w:t>
      </w:r>
      <w:r w:rsidRPr="006938AF">
        <w:rPr>
          <w:rFonts w:ascii="Calibri" w:eastAsia="Calibri" w:hAnsi="Calibri" w:cs="Calibri"/>
          <w:sz w:val="22"/>
          <w:szCs w:val="22"/>
          <w:lang w:eastAsia="en-US"/>
        </w:rPr>
        <w:t xml:space="preserve">στο </w:t>
      </w:r>
      <w:proofErr w:type="spellStart"/>
      <w:r w:rsidRPr="006938AF">
        <w:rPr>
          <w:rFonts w:ascii="Calibri" w:eastAsia="Calibri" w:hAnsi="Calibri" w:cs="Calibri"/>
          <w:sz w:val="22"/>
          <w:szCs w:val="22"/>
          <w:lang w:eastAsia="en-US"/>
        </w:rPr>
        <w:t>Λούνα</w:t>
      </w:r>
      <w:proofErr w:type="spellEnd"/>
      <w:r w:rsidRPr="006938AF">
        <w:rPr>
          <w:rFonts w:ascii="Calibri" w:eastAsia="Calibri" w:hAnsi="Calibri" w:cs="Calibri"/>
          <w:sz w:val="22"/>
          <w:szCs w:val="22"/>
          <w:lang w:eastAsia="en-US"/>
        </w:rPr>
        <w:t xml:space="preserve"> Παρκ, διαπιστώθηκε ότι λειτουργεί βάσει άδειας λειτουργίας</w:t>
      </w:r>
      <w:r>
        <w:rPr>
          <w:rFonts w:ascii="Calibri" w:eastAsia="Calibri" w:hAnsi="Calibri" w:cs="Calibri"/>
          <w:sz w:val="22"/>
          <w:szCs w:val="22"/>
          <w:lang w:eastAsia="en-US"/>
        </w:rPr>
        <w:t xml:space="preserve"> που είχε χορηγηθεί</w:t>
      </w:r>
      <w:r w:rsidRPr="006938AF">
        <w:rPr>
          <w:rFonts w:ascii="Calibri" w:eastAsia="Calibri" w:hAnsi="Calibri" w:cs="Calibri"/>
          <w:sz w:val="22"/>
          <w:szCs w:val="22"/>
          <w:lang w:eastAsia="en-US"/>
        </w:rPr>
        <w:t xml:space="preserve"> το 2006, η χρονική ισχύς της οποίας έχει λήξει.</w:t>
      </w:r>
    </w:p>
    <w:p w:rsidR="00442D57" w:rsidRDefault="00442D57" w:rsidP="00442D57">
      <w:pPr>
        <w:spacing w:line="259" w:lineRule="auto"/>
        <w:jc w:val="both"/>
        <w:rPr>
          <w:rFonts w:ascii="Calibri" w:eastAsia="Calibri" w:hAnsi="Calibri" w:cs="Calibri"/>
          <w:sz w:val="22"/>
          <w:szCs w:val="22"/>
          <w:lang w:eastAsia="en-US"/>
        </w:rPr>
      </w:pPr>
    </w:p>
    <w:p w:rsidR="00442D57" w:rsidRPr="006938AF" w:rsidRDefault="00442D57" w:rsidP="00442D57">
      <w:pPr>
        <w:spacing w:line="259" w:lineRule="auto"/>
        <w:jc w:val="both"/>
        <w:rPr>
          <w:rFonts w:ascii="Calibri" w:eastAsia="Calibri" w:hAnsi="Calibri" w:cs="Calibri"/>
          <w:sz w:val="22"/>
          <w:szCs w:val="22"/>
          <w:lang w:eastAsia="en-US"/>
        </w:rPr>
      </w:pPr>
    </w:p>
    <w:p w:rsidR="00442D57" w:rsidRPr="006938AF" w:rsidRDefault="00442D57" w:rsidP="00442D57">
      <w:pPr>
        <w:spacing w:line="259" w:lineRule="auto"/>
        <w:jc w:val="both"/>
        <w:rPr>
          <w:rFonts w:ascii="Calibri" w:eastAsia="Calibri" w:hAnsi="Calibri" w:cs="Calibri"/>
          <w:sz w:val="22"/>
          <w:szCs w:val="22"/>
          <w:lang w:eastAsia="en-US"/>
        </w:rPr>
      </w:pPr>
      <w:r w:rsidRPr="006938AF">
        <w:rPr>
          <w:rFonts w:ascii="Calibri" w:eastAsia="Calibri" w:hAnsi="Calibri" w:cs="Calibri"/>
          <w:sz w:val="22"/>
          <w:szCs w:val="22"/>
          <w:lang w:eastAsia="en-US"/>
        </w:rPr>
        <w:t xml:space="preserve">Σύμφωνα με τα ευρήματα του ελέγχου, η ύπαρξη νόμιμων κατοικιών σε αποστάσεις μικρότερες των 150 μ. (εφαπτόμενες στο </w:t>
      </w:r>
      <w:proofErr w:type="spellStart"/>
      <w:r w:rsidRPr="006938AF">
        <w:rPr>
          <w:rFonts w:ascii="Calibri" w:eastAsia="Calibri" w:hAnsi="Calibri" w:cs="Calibri"/>
          <w:sz w:val="22"/>
          <w:szCs w:val="22"/>
          <w:lang w:eastAsia="en-US"/>
        </w:rPr>
        <w:t>Λούνα</w:t>
      </w:r>
      <w:proofErr w:type="spellEnd"/>
      <w:r w:rsidRPr="006938AF">
        <w:rPr>
          <w:rFonts w:ascii="Calibri" w:eastAsia="Calibri" w:hAnsi="Calibri" w:cs="Calibri"/>
          <w:sz w:val="22"/>
          <w:szCs w:val="22"/>
          <w:lang w:eastAsia="en-US"/>
        </w:rPr>
        <w:t xml:space="preserve"> Παρκ και σε απόσταση έως 14 μ.) και λαμβάνοντας υπόψη ότι κατά τα οριζόμενα στην υπ’ </w:t>
      </w:r>
      <w:proofErr w:type="spellStart"/>
      <w:r w:rsidRPr="006938AF">
        <w:rPr>
          <w:rFonts w:ascii="Calibri" w:eastAsia="Calibri" w:hAnsi="Calibri" w:cs="Calibri"/>
          <w:sz w:val="22"/>
          <w:szCs w:val="22"/>
          <w:lang w:eastAsia="en-US"/>
        </w:rPr>
        <w:t>αρ</w:t>
      </w:r>
      <w:proofErr w:type="spellEnd"/>
      <w:r w:rsidRPr="006938AF">
        <w:rPr>
          <w:rFonts w:ascii="Calibri" w:eastAsia="Calibri" w:hAnsi="Calibri" w:cs="Calibri"/>
          <w:sz w:val="22"/>
          <w:szCs w:val="22"/>
          <w:lang w:eastAsia="en-US"/>
        </w:rPr>
        <w:t xml:space="preserve">. 7034/1298/2000 ΚΥΑ, η ελάχιστη απόσταση λειτουργίας δραστηριότητας </w:t>
      </w:r>
      <w:proofErr w:type="spellStart"/>
      <w:r w:rsidRPr="006938AF">
        <w:rPr>
          <w:rFonts w:ascii="Calibri" w:eastAsia="Calibri" w:hAnsi="Calibri" w:cs="Calibri"/>
          <w:sz w:val="22"/>
          <w:szCs w:val="22"/>
          <w:lang w:eastAsia="en-US"/>
        </w:rPr>
        <w:t>Λούνα</w:t>
      </w:r>
      <w:proofErr w:type="spellEnd"/>
      <w:r w:rsidRPr="006938AF">
        <w:rPr>
          <w:rFonts w:ascii="Calibri" w:eastAsia="Calibri" w:hAnsi="Calibri" w:cs="Calibri"/>
          <w:sz w:val="22"/>
          <w:szCs w:val="22"/>
          <w:lang w:eastAsia="en-US"/>
        </w:rPr>
        <w:t xml:space="preserve"> Παρκ από την πλησιέστερη νόμιμη κατοικία (πρώτη και δευτερεύουσα) δεν μπορεί να είναι μικρότερη των 150 μ., καθιστά σαφές πως μετά τη λήξη ισχύος της τότε άδειας λειτουργίας της το 2001, αυτή δεν μπορούσε να ανανεωθεί, </w:t>
      </w:r>
      <w:proofErr w:type="spellStart"/>
      <w:r w:rsidRPr="006938AF">
        <w:rPr>
          <w:rFonts w:ascii="Calibri" w:eastAsia="Calibri" w:hAnsi="Calibri" w:cs="Calibri"/>
          <w:sz w:val="22"/>
          <w:szCs w:val="22"/>
          <w:lang w:eastAsia="en-US"/>
        </w:rPr>
        <w:t>πολλώ</w:t>
      </w:r>
      <w:proofErr w:type="spellEnd"/>
      <w:r w:rsidRPr="006938AF">
        <w:rPr>
          <w:rFonts w:ascii="Calibri" w:eastAsia="Calibri" w:hAnsi="Calibri" w:cs="Calibri"/>
          <w:sz w:val="22"/>
          <w:szCs w:val="22"/>
          <w:lang w:eastAsia="en-US"/>
        </w:rPr>
        <w:t xml:space="preserve"> δε μάλλον να της χορηγηθεί νέα. Η επιχείρηση </w:t>
      </w:r>
      <w:proofErr w:type="spellStart"/>
      <w:r w:rsidRPr="006938AF">
        <w:rPr>
          <w:rFonts w:ascii="Calibri" w:eastAsia="Calibri" w:hAnsi="Calibri" w:cs="Calibri"/>
          <w:sz w:val="22"/>
          <w:szCs w:val="22"/>
          <w:lang w:eastAsia="en-US"/>
        </w:rPr>
        <w:t>Λούνα</w:t>
      </w:r>
      <w:proofErr w:type="spellEnd"/>
      <w:r w:rsidRPr="006938AF">
        <w:rPr>
          <w:rFonts w:ascii="Calibri" w:eastAsia="Calibri" w:hAnsi="Calibri" w:cs="Calibri"/>
          <w:sz w:val="22"/>
          <w:szCs w:val="22"/>
          <w:lang w:eastAsia="en-US"/>
        </w:rPr>
        <w:t xml:space="preserve"> Παρκ, επί μία περίπου πενταετία, από το 20</w:t>
      </w:r>
      <w:r>
        <w:rPr>
          <w:rFonts w:ascii="Calibri" w:eastAsia="Calibri" w:hAnsi="Calibri" w:cs="Calibri"/>
          <w:sz w:val="22"/>
          <w:szCs w:val="22"/>
          <w:lang w:eastAsia="en-US"/>
        </w:rPr>
        <w:t>0</w:t>
      </w:r>
      <w:r w:rsidRPr="006938AF">
        <w:rPr>
          <w:rFonts w:ascii="Calibri" w:eastAsia="Calibri" w:hAnsi="Calibri" w:cs="Calibri"/>
          <w:sz w:val="22"/>
          <w:szCs w:val="22"/>
          <w:lang w:eastAsia="en-US"/>
        </w:rPr>
        <w:t>1 έως το 2006 λειτούργησε άνευ νόμιμης άδειας λειτουργίας εν μέσω προστριβών με τους περιοίκους, καταγγελιών, διοικητικών κωλυσιεργιών και δικαστικών διενέξεων. Επιπλέον δε, το 2002</w:t>
      </w:r>
      <w:r>
        <w:rPr>
          <w:rFonts w:ascii="Calibri" w:eastAsia="Calibri" w:hAnsi="Calibri" w:cs="Calibri"/>
          <w:sz w:val="22"/>
          <w:szCs w:val="22"/>
          <w:lang w:eastAsia="en-US"/>
        </w:rPr>
        <w:t>,</w:t>
      </w:r>
      <w:r w:rsidRPr="006938AF">
        <w:rPr>
          <w:rFonts w:ascii="Calibri" w:eastAsia="Calibri" w:hAnsi="Calibri" w:cs="Calibri"/>
          <w:sz w:val="22"/>
          <w:szCs w:val="22"/>
          <w:lang w:eastAsia="en-US"/>
        </w:rPr>
        <w:t xml:space="preserve"> το </w:t>
      </w:r>
      <w:proofErr w:type="spellStart"/>
      <w:r w:rsidRPr="006938AF">
        <w:rPr>
          <w:rFonts w:ascii="Calibri" w:eastAsia="Calibri" w:hAnsi="Calibri" w:cs="Calibri"/>
          <w:sz w:val="22"/>
          <w:szCs w:val="22"/>
          <w:lang w:eastAsia="en-US"/>
        </w:rPr>
        <w:t>ΣτΕ</w:t>
      </w:r>
      <w:proofErr w:type="spellEnd"/>
      <w:r w:rsidRPr="006938AF">
        <w:rPr>
          <w:rFonts w:ascii="Calibri" w:eastAsia="Calibri" w:hAnsi="Calibri" w:cs="Calibri"/>
          <w:sz w:val="22"/>
          <w:szCs w:val="22"/>
          <w:lang w:eastAsia="en-US"/>
        </w:rPr>
        <w:t xml:space="preserve"> είχε κρίνει και απορρίψει την αναστολή εκτέλεσης της διακοπής λειτουργίας της, και η σφράγισή της ζητήθηκε, μεταξύ άλλων, από το τότε Γραφείο Υπουργού του Υ.ΠΕ.ΧΩ.Δ.Ε, το πρώην Σ.Ε.Ε.Δ.Δ. και τη Νομαρχία Αθηνών-Πειραιώς. Καίτοι των προαναφερόμενων, το 2006 ο Δήμος προχώρησε μη νόμιμα στη χορήγηση της ελεγχόμενης άδειας λειτουργίας. </w:t>
      </w:r>
    </w:p>
    <w:p w:rsidR="00442D57" w:rsidRDefault="00442D57" w:rsidP="00442D57">
      <w:pPr>
        <w:spacing w:after="60" w:line="259" w:lineRule="auto"/>
        <w:jc w:val="both"/>
        <w:rPr>
          <w:rFonts w:ascii="Calibri" w:eastAsia="Calibri" w:hAnsi="Calibri" w:cs="Calibri"/>
          <w:sz w:val="22"/>
          <w:szCs w:val="22"/>
          <w:lang w:eastAsia="en-US"/>
        </w:rPr>
      </w:pPr>
      <w:r w:rsidRPr="00DE14D2">
        <w:rPr>
          <w:rFonts w:ascii="Calibri" w:eastAsia="Calibri" w:hAnsi="Calibri"/>
          <w:sz w:val="22"/>
          <w:szCs w:val="22"/>
          <w:lang w:eastAsia="en-US"/>
        </w:rPr>
        <w:t>Στις 20-07-2</w:t>
      </w:r>
      <w:r>
        <w:rPr>
          <w:rFonts w:ascii="Calibri" w:eastAsia="Calibri" w:hAnsi="Calibri"/>
          <w:sz w:val="22"/>
          <w:szCs w:val="22"/>
          <w:lang w:eastAsia="en-US"/>
        </w:rPr>
        <w:t xml:space="preserve">011, αρμόδιο αστυνομικό όργανο </w:t>
      </w:r>
      <w:r w:rsidRPr="00DE14D2">
        <w:rPr>
          <w:rFonts w:ascii="Calibri" w:eastAsia="Calibri" w:hAnsi="Calibri"/>
          <w:sz w:val="22"/>
          <w:szCs w:val="22"/>
          <w:lang w:eastAsia="en-US"/>
        </w:rPr>
        <w:t xml:space="preserve">διαπίστωσε ότι </w:t>
      </w:r>
      <w:r>
        <w:rPr>
          <w:rFonts w:ascii="Calibri" w:eastAsia="Calibri" w:hAnsi="Calibri"/>
          <w:sz w:val="22"/>
          <w:szCs w:val="22"/>
          <w:lang w:eastAsia="en-US"/>
        </w:rPr>
        <w:t xml:space="preserve">το </w:t>
      </w:r>
      <w:proofErr w:type="spellStart"/>
      <w:r>
        <w:rPr>
          <w:rFonts w:ascii="Calibri" w:eastAsia="Calibri" w:hAnsi="Calibri"/>
          <w:sz w:val="22"/>
          <w:szCs w:val="22"/>
          <w:lang w:eastAsia="en-US"/>
        </w:rPr>
        <w:t>Λούνα</w:t>
      </w:r>
      <w:proofErr w:type="spellEnd"/>
      <w:r>
        <w:rPr>
          <w:rFonts w:ascii="Calibri" w:eastAsia="Calibri" w:hAnsi="Calibri"/>
          <w:sz w:val="22"/>
          <w:szCs w:val="22"/>
          <w:lang w:eastAsia="en-US"/>
        </w:rPr>
        <w:t xml:space="preserve"> Παρκ</w:t>
      </w:r>
      <w:r w:rsidRPr="00DE14D2">
        <w:rPr>
          <w:rFonts w:ascii="Calibri" w:eastAsia="Calibri" w:hAnsi="Calibri"/>
          <w:sz w:val="22"/>
          <w:szCs w:val="22"/>
          <w:lang w:eastAsia="en-US"/>
        </w:rPr>
        <w:t xml:space="preserve"> λειτουργ</w:t>
      </w:r>
      <w:r>
        <w:rPr>
          <w:rFonts w:ascii="Calibri" w:eastAsia="Calibri" w:hAnsi="Calibri"/>
          <w:sz w:val="22"/>
          <w:szCs w:val="22"/>
          <w:lang w:eastAsia="en-US"/>
        </w:rPr>
        <w:t>ούσε άνευ αδείας αρμόδιας Αρχής</w:t>
      </w:r>
      <w:r w:rsidRPr="00B65564">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καθώς η </w:t>
      </w:r>
      <w:r w:rsidRPr="00DE14D2">
        <w:rPr>
          <w:rFonts w:ascii="Calibri" w:eastAsia="Calibri" w:hAnsi="Calibri" w:cs="Calibri"/>
          <w:sz w:val="22"/>
          <w:szCs w:val="22"/>
          <w:lang w:eastAsia="en-US"/>
        </w:rPr>
        <w:t xml:space="preserve">ισχύς </w:t>
      </w:r>
      <w:r>
        <w:rPr>
          <w:rFonts w:ascii="Calibri" w:eastAsia="Calibri" w:hAnsi="Calibri" w:cs="Calibri"/>
          <w:sz w:val="22"/>
          <w:szCs w:val="22"/>
          <w:lang w:eastAsia="en-US"/>
        </w:rPr>
        <w:t>της άδειας του 2006</w:t>
      </w:r>
      <w:r w:rsidRPr="00DE14D2">
        <w:rPr>
          <w:rFonts w:ascii="Calibri" w:eastAsia="Calibri" w:hAnsi="Calibri" w:cs="Calibri"/>
          <w:sz w:val="22"/>
          <w:szCs w:val="22"/>
          <w:lang w:eastAsia="en-US"/>
        </w:rPr>
        <w:t xml:space="preserve"> </w:t>
      </w:r>
      <w:r>
        <w:rPr>
          <w:rFonts w:ascii="Calibri" w:eastAsia="Calibri" w:hAnsi="Calibri" w:cs="Calibri"/>
          <w:sz w:val="22"/>
          <w:szCs w:val="22"/>
          <w:lang w:eastAsia="en-US"/>
        </w:rPr>
        <w:t>είχε λήξει</w:t>
      </w:r>
      <w:r>
        <w:rPr>
          <w:rFonts w:ascii="Calibri" w:eastAsia="Calibri" w:hAnsi="Calibri"/>
          <w:sz w:val="22"/>
          <w:szCs w:val="22"/>
          <w:lang w:eastAsia="en-US"/>
        </w:rPr>
        <w:t xml:space="preserve">. Έκτοτε και έως τον Απρίλιο του 2022, για 11 χρόνια, η επιχείρηση λειτουργούσε βάσει απόφασης αναστολής εκτέλεσης της απόφασης σφράγισης της, παρά τις λοιπές παραβάσεις των όρων της άδειας που είχαν διαπιστωθεί από  Υπηρεσίες του Δήμου και άλλους εμπλεκόμενους φορείς. </w:t>
      </w:r>
      <w:r w:rsidRPr="00DE14D2">
        <w:rPr>
          <w:rFonts w:ascii="Calibri" w:eastAsia="Calibri" w:hAnsi="Calibri"/>
          <w:sz w:val="22"/>
          <w:szCs w:val="22"/>
          <w:lang w:eastAsia="en-US"/>
        </w:rPr>
        <w:t>Από την δημοσίευση της απόφασης του Εφετείου Αθηνών</w:t>
      </w:r>
      <w:r>
        <w:rPr>
          <w:rFonts w:ascii="Calibri" w:eastAsia="Calibri" w:hAnsi="Calibri"/>
          <w:sz w:val="22"/>
          <w:szCs w:val="22"/>
          <w:lang w:eastAsia="en-US"/>
        </w:rPr>
        <w:t>, τον Απρίλιο του 2022</w:t>
      </w:r>
      <w:r w:rsidRPr="00DE14D2">
        <w:rPr>
          <w:rFonts w:ascii="Calibri" w:eastAsia="Calibri" w:hAnsi="Calibri"/>
          <w:sz w:val="22"/>
          <w:szCs w:val="22"/>
          <w:lang w:eastAsia="en-US"/>
        </w:rPr>
        <w:t xml:space="preserve"> και ως τη</w:t>
      </w:r>
      <w:r>
        <w:rPr>
          <w:rFonts w:ascii="Calibri" w:eastAsia="Calibri" w:hAnsi="Calibri"/>
          <w:sz w:val="22"/>
          <w:szCs w:val="22"/>
          <w:lang w:eastAsia="en-US"/>
        </w:rPr>
        <w:t>ν</w:t>
      </w:r>
      <w:r w:rsidRPr="00DE14D2">
        <w:rPr>
          <w:rFonts w:ascii="Calibri" w:eastAsia="Calibri" w:hAnsi="Calibri"/>
          <w:sz w:val="22"/>
          <w:szCs w:val="22"/>
          <w:lang w:eastAsia="en-US"/>
        </w:rPr>
        <w:t xml:space="preserve"> </w:t>
      </w:r>
      <w:r>
        <w:rPr>
          <w:rFonts w:ascii="Calibri" w:eastAsia="Calibri" w:hAnsi="Calibri"/>
          <w:sz w:val="22"/>
          <w:szCs w:val="22"/>
          <w:lang w:eastAsia="en-US"/>
        </w:rPr>
        <w:t>αυτεπάγγελτη έναρξη του ελέγχου της ΕΑΔ</w:t>
      </w:r>
      <w:r w:rsidRPr="00DE14D2">
        <w:rPr>
          <w:rFonts w:ascii="Calibri" w:eastAsia="Calibri" w:hAnsi="Calibri"/>
          <w:sz w:val="22"/>
          <w:szCs w:val="22"/>
          <w:lang w:eastAsia="en-US"/>
        </w:rPr>
        <w:t xml:space="preserve">, το </w:t>
      </w:r>
      <w:proofErr w:type="spellStart"/>
      <w:r w:rsidRPr="00DE14D2">
        <w:rPr>
          <w:rFonts w:ascii="Calibri" w:eastAsia="Calibri" w:hAnsi="Calibri"/>
          <w:sz w:val="22"/>
          <w:szCs w:val="22"/>
          <w:lang w:eastAsia="en-US"/>
        </w:rPr>
        <w:t>Λούνα</w:t>
      </w:r>
      <w:proofErr w:type="spellEnd"/>
      <w:r w:rsidRPr="00DE14D2">
        <w:rPr>
          <w:rFonts w:ascii="Calibri" w:eastAsia="Calibri" w:hAnsi="Calibri"/>
          <w:sz w:val="22"/>
          <w:szCs w:val="22"/>
          <w:lang w:eastAsia="en-US"/>
        </w:rPr>
        <w:t xml:space="preserve"> Παρκ  λειτουργ</w:t>
      </w:r>
      <w:r>
        <w:rPr>
          <w:rFonts w:ascii="Calibri" w:eastAsia="Calibri" w:hAnsi="Calibri"/>
          <w:sz w:val="22"/>
          <w:szCs w:val="22"/>
          <w:lang w:eastAsia="en-US"/>
        </w:rPr>
        <w:t>ούσε</w:t>
      </w:r>
      <w:r w:rsidRPr="00DE14D2">
        <w:rPr>
          <w:rFonts w:ascii="Calibri" w:eastAsia="Calibri" w:hAnsi="Calibri"/>
          <w:sz w:val="22"/>
          <w:szCs w:val="22"/>
          <w:lang w:eastAsia="en-US"/>
        </w:rPr>
        <w:t xml:space="preserve"> μη νόμιμα, καθώς </w:t>
      </w:r>
      <w:r>
        <w:rPr>
          <w:rFonts w:ascii="Calibri" w:eastAsia="Calibri" w:hAnsi="Calibri"/>
          <w:sz w:val="22"/>
          <w:szCs w:val="22"/>
          <w:lang w:eastAsia="en-US"/>
        </w:rPr>
        <w:t xml:space="preserve">πρώτον δε διέθετε άδεια λειτουργίας εν ισχύ και δεύτερον  </w:t>
      </w:r>
      <w:r w:rsidRPr="00DE14D2">
        <w:rPr>
          <w:rFonts w:ascii="Calibri" w:eastAsia="Calibri" w:hAnsi="Calibri"/>
          <w:sz w:val="22"/>
          <w:szCs w:val="22"/>
          <w:lang w:eastAsia="en-US"/>
        </w:rPr>
        <w:t>λειτουργούσε</w:t>
      </w:r>
      <w:r>
        <w:rPr>
          <w:rFonts w:ascii="Calibri" w:eastAsia="Calibri" w:hAnsi="Calibri"/>
          <w:sz w:val="22"/>
          <w:szCs w:val="22"/>
          <w:lang w:eastAsia="en-US"/>
        </w:rPr>
        <w:t xml:space="preserve"> έως τότε</w:t>
      </w:r>
      <w:r w:rsidRPr="00DE14D2">
        <w:rPr>
          <w:rFonts w:ascii="Calibri" w:eastAsia="Calibri" w:hAnsi="Calibri"/>
          <w:sz w:val="22"/>
          <w:szCs w:val="22"/>
          <w:lang w:eastAsia="en-US"/>
        </w:rPr>
        <w:t xml:space="preserve"> βάσει της </w:t>
      </w:r>
      <w:proofErr w:type="spellStart"/>
      <w:r>
        <w:rPr>
          <w:rFonts w:ascii="Calibri" w:eastAsia="Calibri" w:hAnsi="Calibri"/>
          <w:sz w:val="22"/>
          <w:szCs w:val="22"/>
          <w:lang w:eastAsia="en-US"/>
        </w:rPr>
        <w:t>προμνησθείσας</w:t>
      </w:r>
      <w:proofErr w:type="spellEnd"/>
      <w:r w:rsidRPr="00DE14D2">
        <w:rPr>
          <w:rFonts w:ascii="Calibri" w:eastAsia="Calibri" w:hAnsi="Calibri"/>
          <w:sz w:val="22"/>
          <w:szCs w:val="22"/>
          <w:lang w:eastAsia="en-US"/>
        </w:rPr>
        <w:t xml:space="preserve"> απόφασης α</w:t>
      </w:r>
      <w:r>
        <w:rPr>
          <w:rFonts w:ascii="Calibri" w:eastAsia="Calibri" w:hAnsi="Calibri"/>
          <w:sz w:val="22"/>
          <w:szCs w:val="22"/>
          <w:lang w:eastAsia="en-US"/>
        </w:rPr>
        <w:t>ναστολής εκτέλεσης της σφράγισής του η οποία ίσχυε έως την έκδοση της απόφασης του Εφετείου. Ως εκ τούτου εξέλιπε νόμιμος λόγος λειτουργίας του και ο Δήμος</w:t>
      </w:r>
      <w:r w:rsidRPr="00DE14D2">
        <w:rPr>
          <w:rFonts w:ascii="Calibri" w:eastAsia="Calibri" w:hAnsi="Calibri" w:cs="Calibri"/>
          <w:sz w:val="22"/>
          <w:szCs w:val="22"/>
          <w:lang w:eastAsia="en-US"/>
        </w:rPr>
        <w:t xml:space="preserve"> όφειλε να προχωρήσει στην </w:t>
      </w:r>
      <w:r>
        <w:rPr>
          <w:rFonts w:ascii="Calibri" w:eastAsia="Calibri" w:hAnsi="Calibri" w:cs="Calibri"/>
          <w:sz w:val="22"/>
          <w:szCs w:val="22"/>
          <w:lang w:eastAsia="en-US"/>
        </w:rPr>
        <w:t xml:space="preserve">οριστική </w:t>
      </w:r>
      <w:r w:rsidRPr="00DE14D2">
        <w:rPr>
          <w:rFonts w:ascii="Calibri" w:eastAsia="Calibri" w:hAnsi="Calibri" w:cs="Calibri"/>
          <w:sz w:val="22"/>
          <w:szCs w:val="22"/>
          <w:lang w:eastAsia="en-US"/>
        </w:rPr>
        <w:t>διακοπή λειτουργίας του</w:t>
      </w:r>
      <w:r>
        <w:rPr>
          <w:rFonts w:ascii="Calibri" w:eastAsia="Calibri" w:hAnsi="Calibri" w:cs="Calibri"/>
          <w:sz w:val="22"/>
          <w:szCs w:val="22"/>
          <w:lang w:eastAsia="en-US"/>
        </w:rPr>
        <w:t xml:space="preserve">. </w:t>
      </w:r>
      <w:r w:rsidRPr="00DE14D2">
        <w:rPr>
          <w:rFonts w:ascii="Calibri" w:eastAsia="Calibri" w:hAnsi="Calibri" w:cs="Calibri"/>
          <w:sz w:val="22"/>
          <w:szCs w:val="22"/>
          <w:lang w:eastAsia="en-US"/>
        </w:rPr>
        <w:t xml:space="preserve"> </w:t>
      </w:r>
    </w:p>
    <w:p w:rsidR="00442D57" w:rsidRDefault="00442D57" w:rsidP="00442D57">
      <w:pPr>
        <w:spacing w:after="60" w:line="259"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Η αρχική </w:t>
      </w:r>
      <w:r w:rsidRPr="005A6295">
        <w:rPr>
          <w:rFonts w:ascii="Calibri" w:eastAsia="Calibri" w:hAnsi="Calibri" w:cs="Calibri"/>
          <w:sz w:val="22"/>
          <w:szCs w:val="22"/>
          <w:lang w:eastAsia="en-US"/>
        </w:rPr>
        <w:t xml:space="preserve">θέση της Διεύθυνσης Νομικών Υποθέσεων του Δήμου </w:t>
      </w:r>
      <w:r>
        <w:rPr>
          <w:rFonts w:ascii="Calibri" w:eastAsia="Calibri" w:hAnsi="Calibri" w:cs="Calibri"/>
          <w:sz w:val="22"/>
          <w:szCs w:val="22"/>
          <w:lang w:eastAsia="en-US"/>
        </w:rPr>
        <w:t xml:space="preserve">ήταν ότι η άδεια λειτουργίας του </w:t>
      </w:r>
      <w:proofErr w:type="spellStart"/>
      <w:r>
        <w:rPr>
          <w:rFonts w:ascii="Calibri" w:eastAsia="Calibri" w:hAnsi="Calibri" w:cs="Calibri"/>
          <w:sz w:val="22"/>
          <w:szCs w:val="22"/>
          <w:lang w:eastAsia="en-US"/>
        </w:rPr>
        <w:t>Λούνα</w:t>
      </w:r>
      <w:proofErr w:type="spellEnd"/>
      <w:r>
        <w:rPr>
          <w:rFonts w:ascii="Calibri" w:eastAsia="Calibri" w:hAnsi="Calibri" w:cs="Calibri"/>
          <w:sz w:val="22"/>
          <w:szCs w:val="22"/>
          <w:lang w:eastAsia="en-US"/>
        </w:rPr>
        <w:t xml:space="preserve"> Παρκ ήταν αορίστου χρόνου, παρά το ότι η αόριστη ισχύς δεν προβλεπόταν σε καμία διάταξη νόμου του προϋφιστάμενου πλαισίου </w:t>
      </w:r>
      <w:proofErr w:type="spellStart"/>
      <w:r>
        <w:rPr>
          <w:rFonts w:ascii="Calibri" w:eastAsia="Calibri" w:hAnsi="Calibri" w:cs="Calibri"/>
          <w:sz w:val="22"/>
          <w:szCs w:val="22"/>
          <w:lang w:eastAsia="en-US"/>
        </w:rPr>
        <w:t>αδειοδότησης</w:t>
      </w:r>
      <w:proofErr w:type="spellEnd"/>
      <w:r>
        <w:rPr>
          <w:rFonts w:ascii="Calibri" w:eastAsia="Calibri" w:hAnsi="Calibri" w:cs="Calibri"/>
          <w:sz w:val="22"/>
          <w:szCs w:val="22"/>
          <w:lang w:eastAsia="en-US"/>
        </w:rPr>
        <w:t xml:space="preserve"> δραστηριότητας </w:t>
      </w:r>
      <w:proofErr w:type="spellStart"/>
      <w:r>
        <w:rPr>
          <w:rFonts w:ascii="Calibri" w:eastAsia="Calibri" w:hAnsi="Calibri" w:cs="Calibri"/>
          <w:sz w:val="22"/>
          <w:szCs w:val="22"/>
          <w:lang w:eastAsia="en-US"/>
        </w:rPr>
        <w:t>Λούνα</w:t>
      </w:r>
      <w:proofErr w:type="spellEnd"/>
      <w:r>
        <w:rPr>
          <w:rFonts w:ascii="Calibri" w:eastAsia="Calibri" w:hAnsi="Calibri" w:cs="Calibri"/>
          <w:sz w:val="22"/>
          <w:szCs w:val="22"/>
          <w:lang w:eastAsia="en-US"/>
        </w:rPr>
        <w:t xml:space="preserve"> Παρκ.</w:t>
      </w:r>
      <w:r w:rsidRPr="005A629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Κατά τη διάρκεια  </w:t>
      </w:r>
      <w:r>
        <w:rPr>
          <w:rFonts w:ascii="Calibri" w:eastAsia="Calibri" w:hAnsi="Calibri" w:cs="Calibri"/>
          <w:sz w:val="22"/>
          <w:szCs w:val="22"/>
          <w:lang w:eastAsia="en-US"/>
        </w:rPr>
        <w:lastRenderedPageBreak/>
        <w:t>του ελέγχου, η άποψη της</w:t>
      </w:r>
      <w:r w:rsidRPr="005A6295">
        <w:rPr>
          <w:rFonts w:ascii="Calibri" w:eastAsia="Calibri" w:hAnsi="Calibri" w:cs="Calibri"/>
          <w:sz w:val="22"/>
          <w:szCs w:val="22"/>
          <w:lang w:eastAsia="en-US"/>
        </w:rPr>
        <w:t xml:space="preserve"> </w:t>
      </w:r>
      <w:r w:rsidRPr="00C877E7">
        <w:rPr>
          <w:rFonts w:ascii="Calibri" w:eastAsia="Calibri" w:hAnsi="Calibri" w:cs="Calibri"/>
          <w:sz w:val="22"/>
          <w:szCs w:val="22"/>
          <w:lang w:eastAsia="en-US"/>
        </w:rPr>
        <w:t>Διεύθυνσης Νομικών Υποθέσεων του Δήμου</w:t>
      </w:r>
      <w:r>
        <w:rPr>
          <w:rFonts w:ascii="Calibri" w:eastAsia="Calibri" w:hAnsi="Calibri" w:cs="Calibri"/>
          <w:sz w:val="22"/>
          <w:szCs w:val="22"/>
          <w:lang w:eastAsia="en-US"/>
        </w:rPr>
        <w:t xml:space="preserve"> </w:t>
      </w:r>
      <w:r w:rsidRPr="005A6295">
        <w:rPr>
          <w:rFonts w:ascii="Calibri" w:eastAsia="Calibri" w:hAnsi="Calibri" w:cs="Calibri"/>
          <w:sz w:val="22"/>
          <w:szCs w:val="22"/>
          <w:lang w:eastAsia="en-US"/>
        </w:rPr>
        <w:t>άλλαξε, αναγνωρίζοντας ότι</w:t>
      </w:r>
      <w:r>
        <w:rPr>
          <w:rFonts w:ascii="Calibri" w:eastAsia="Calibri" w:hAnsi="Calibri" w:cs="Calibri"/>
          <w:sz w:val="22"/>
          <w:szCs w:val="22"/>
          <w:lang w:eastAsia="en-US"/>
        </w:rPr>
        <w:t xml:space="preserve"> η άδεια του 2006</w:t>
      </w:r>
      <w:r w:rsidRPr="005A6295">
        <w:rPr>
          <w:rFonts w:ascii="Calibri" w:eastAsia="Calibri" w:hAnsi="Calibri" w:cs="Calibri"/>
          <w:sz w:val="22"/>
          <w:szCs w:val="22"/>
          <w:lang w:eastAsia="en-US"/>
        </w:rPr>
        <w:t xml:space="preserve"> δεν τελεί σε ισχύ</w:t>
      </w:r>
      <w:r>
        <w:rPr>
          <w:rFonts w:ascii="Calibri" w:eastAsia="Calibri" w:hAnsi="Calibri" w:cs="Calibri"/>
          <w:sz w:val="22"/>
          <w:szCs w:val="22"/>
          <w:lang w:eastAsia="en-US"/>
        </w:rPr>
        <w:t>, όπως είχε επισημανθεί εξ αρχής από το κλιμάκιο ελέγχου</w:t>
      </w:r>
      <w:r w:rsidRPr="005A6295">
        <w:rPr>
          <w:rFonts w:ascii="Calibri" w:eastAsia="Calibri" w:hAnsi="Calibri" w:cs="Calibri"/>
          <w:sz w:val="22"/>
          <w:szCs w:val="22"/>
          <w:lang w:eastAsia="en-US"/>
        </w:rPr>
        <w:t>.</w:t>
      </w:r>
      <w:r>
        <w:rPr>
          <w:rFonts w:ascii="Calibri" w:eastAsia="Calibri" w:hAnsi="Calibri" w:cs="Calibri"/>
          <w:sz w:val="22"/>
          <w:szCs w:val="22"/>
          <w:lang w:eastAsia="en-US"/>
        </w:rPr>
        <w:t xml:space="preserve"> Επιπλέον, το κλιμάκιο ελέγχου ζήτησε τη διενέργεια επιτόπιου ελέγχου από τη Διεύθυνση</w:t>
      </w:r>
      <w:r w:rsidRPr="001140A6">
        <w:rPr>
          <w:rFonts w:ascii="Calibri" w:eastAsia="Calibri" w:hAnsi="Calibri" w:cs="Calibri"/>
          <w:sz w:val="22"/>
          <w:szCs w:val="22"/>
          <w:lang w:eastAsia="en-US"/>
        </w:rPr>
        <w:t xml:space="preserve"> Περιβάλλοντος και Ποιότητας Ζωής</w:t>
      </w:r>
      <w:r>
        <w:rPr>
          <w:rFonts w:ascii="Calibri" w:eastAsia="Calibri" w:hAnsi="Calibri" w:cs="Calibri"/>
          <w:sz w:val="22"/>
          <w:szCs w:val="22"/>
          <w:lang w:eastAsia="en-US"/>
        </w:rPr>
        <w:t xml:space="preserve"> και την Υπηρεσία Δόμησης του Δήμου και τη διενέργεια αυτοψίας από τη Διοίκηση Πυροσβεστικών</w:t>
      </w:r>
      <w:r w:rsidRPr="00CA3992">
        <w:rPr>
          <w:rFonts w:ascii="Calibri" w:eastAsia="Calibri" w:hAnsi="Calibri" w:cs="Calibri"/>
          <w:sz w:val="22"/>
          <w:szCs w:val="22"/>
          <w:lang w:eastAsia="en-US"/>
        </w:rPr>
        <w:t xml:space="preserve"> Υπηρεσιών Αθηνών</w:t>
      </w:r>
      <w:r>
        <w:rPr>
          <w:rFonts w:ascii="Calibri" w:eastAsia="Calibri" w:hAnsi="Calibri" w:cs="Calibri"/>
          <w:sz w:val="22"/>
          <w:szCs w:val="22"/>
          <w:lang w:eastAsia="en-US"/>
        </w:rPr>
        <w:t xml:space="preserve">. Οι Υπηρεσίες του Δήμου διαπίστωσαν, μεταξύ άλλων,  ασυμφωνία μεταξύ των </w:t>
      </w:r>
      <w:proofErr w:type="spellStart"/>
      <w:r>
        <w:rPr>
          <w:rFonts w:ascii="Calibri" w:eastAsia="Calibri" w:hAnsi="Calibri" w:cs="Calibri"/>
          <w:sz w:val="22"/>
          <w:szCs w:val="22"/>
          <w:lang w:eastAsia="en-US"/>
        </w:rPr>
        <w:t>αδειοδοτούμενων</w:t>
      </w:r>
      <w:proofErr w:type="spellEnd"/>
      <w:r>
        <w:rPr>
          <w:rFonts w:ascii="Calibri" w:eastAsia="Calibri" w:hAnsi="Calibri" w:cs="Calibri"/>
          <w:sz w:val="22"/>
          <w:szCs w:val="22"/>
          <w:lang w:eastAsia="en-US"/>
        </w:rPr>
        <w:t xml:space="preserve"> και των ευρεθέντων στο χώρο </w:t>
      </w:r>
      <w:r w:rsidRPr="001140A6">
        <w:rPr>
          <w:rFonts w:ascii="Calibri" w:eastAsia="Calibri" w:hAnsi="Calibri" w:cs="Calibri"/>
          <w:sz w:val="22"/>
          <w:szCs w:val="22"/>
          <w:lang w:eastAsia="en-US"/>
        </w:rPr>
        <w:t>ψυχαγωγι</w:t>
      </w:r>
      <w:r>
        <w:rPr>
          <w:rFonts w:ascii="Calibri" w:eastAsia="Calibri" w:hAnsi="Calibri" w:cs="Calibri"/>
          <w:sz w:val="22"/>
          <w:szCs w:val="22"/>
          <w:lang w:eastAsia="en-US"/>
        </w:rPr>
        <w:t>κών παιχνιδιών καθώς και διαφοροποιήσεις σε κτίσματα, μεγέθη, διαδρόμους, κιγκλιδώματα από τα</w:t>
      </w:r>
      <w:r w:rsidRPr="00CA3992">
        <w:rPr>
          <w:rFonts w:ascii="Calibri" w:eastAsia="Calibri" w:hAnsi="Calibri" w:cs="Calibri"/>
          <w:sz w:val="22"/>
          <w:szCs w:val="22"/>
          <w:lang w:eastAsia="en-US"/>
        </w:rPr>
        <w:t xml:space="preserve"> κατατιθέμενα σχέδια για την έκδοση της </w:t>
      </w:r>
      <w:r>
        <w:rPr>
          <w:rFonts w:ascii="Calibri" w:eastAsia="Calibri" w:hAnsi="Calibri" w:cs="Calibri"/>
          <w:sz w:val="22"/>
          <w:szCs w:val="22"/>
          <w:lang w:eastAsia="en-US"/>
        </w:rPr>
        <w:t xml:space="preserve">εν λόγω </w:t>
      </w:r>
      <w:r w:rsidRPr="00CA3992">
        <w:rPr>
          <w:rFonts w:ascii="Calibri" w:eastAsia="Calibri" w:hAnsi="Calibri" w:cs="Calibri"/>
          <w:sz w:val="22"/>
          <w:szCs w:val="22"/>
          <w:lang w:eastAsia="en-US"/>
        </w:rPr>
        <w:t>άδειας</w:t>
      </w:r>
      <w:r>
        <w:rPr>
          <w:rFonts w:ascii="Calibri" w:eastAsia="Calibri" w:hAnsi="Calibri" w:cs="Calibri"/>
          <w:sz w:val="22"/>
          <w:szCs w:val="22"/>
          <w:lang w:eastAsia="en-US"/>
        </w:rPr>
        <w:t>. Επίσης η επιχείρηση καταλαμβάνει</w:t>
      </w:r>
      <w:r w:rsidRPr="00CA3992">
        <w:rPr>
          <w:rFonts w:ascii="Calibri" w:eastAsia="Calibri" w:hAnsi="Calibri" w:cs="Calibri"/>
          <w:sz w:val="22"/>
          <w:szCs w:val="22"/>
          <w:lang w:eastAsia="en-US"/>
        </w:rPr>
        <w:t xml:space="preserve"> έκταση που είναι χαρακτηρισμένη ως δρόμος (</w:t>
      </w:r>
      <w:proofErr w:type="spellStart"/>
      <w:r w:rsidRPr="00CA3992">
        <w:rPr>
          <w:rFonts w:ascii="Calibri" w:eastAsia="Calibri" w:hAnsi="Calibri" w:cs="Calibri"/>
          <w:sz w:val="22"/>
          <w:szCs w:val="22"/>
          <w:lang w:eastAsia="en-US"/>
        </w:rPr>
        <w:t>ρυμοτομούμενο</w:t>
      </w:r>
      <w:proofErr w:type="spellEnd"/>
      <w:r w:rsidRPr="00CA3992">
        <w:rPr>
          <w:rFonts w:ascii="Calibri" w:eastAsia="Calibri" w:hAnsi="Calibri" w:cs="Calibri"/>
          <w:sz w:val="22"/>
          <w:szCs w:val="22"/>
          <w:lang w:eastAsia="en-US"/>
        </w:rPr>
        <w:t xml:space="preserve"> τμήμα της ιδιοκτησίας)</w:t>
      </w:r>
      <w:r>
        <w:rPr>
          <w:rFonts w:ascii="Calibri" w:eastAsia="Calibri" w:hAnsi="Calibri" w:cs="Calibri"/>
          <w:sz w:val="22"/>
          <w:szCs w:val="22"/>
          <w:lang w:eastAsia="en-US"/>
        </w:rPr>
        <w:t>. Η Διοίκηση Πυροσβεστικών</w:t>
      </w:r>
      <w:r w:rsidRPr="00CA3992">
        <w:rPr>
          <w:rFonts w:ascii="Calibri" w:eastAsia="Calibri" w:hAnsi="Calibri" w:cs="Calibri"/>
          <w:sz w:val="22"/>
          <w:szCs w:val="22"/>
          <w:lang w:eastAsia="en-US"/>
        </w:rPr>
        <w:t xml:space="preserve"> Υπηρεσιών Αθηνών</w:t>
      </w:r>
      <w:r>
        <w:rPr>
          <w:rFonts w:ascii="Calibri" w:eastAsia="Calibri" w:hAnsi="Calibri" w:cs="Calibri"/>
          <w:sz w:val="22"/>
          <w:szCs w:val="22"/>
          <w:lang w:eastAsia="en-US"/>
        </w:rPr>
        <w:t>, μετά από σχετική αυτοψία,</w:t>
      </w:r>
      <w:r w:rsidRPr="00CA3992">
        <w:rPr>
          <w:rFonts w:ascii="Calibri" w:eastAsia="Calibri" w:hAnsi="Calibri" w:cs="Calibri"/>
          <w:sz w:val="22"/>
          <w:szCs w:val="22"/>
          <w:lang w:eastAsia="en-US"/>
        </w:rPr>
        <w:t xml:space="preserve"> προχώρησε στην ανάκληση του πιστοποιητικού πυροπροστασίας της επι</w:t>
      </w:r>
      <w:r>
        <w:rPr>
          <w:rFonts w:ascii="Calibri" w:eastAsia="Calibri" w:hAnsi="Calibri" w:cs="Calibri"/>
          <w:sz w:val="22"/>
          <w:szCs w:val="22"/>
          <w:lang w:eastAsia="en-US"/>
        </w:rPr>
        <w:t>χείρησης και επέβαλε διοικητικό</w:t>
      </w:r>
      <w:r w:rsidRPr="00CA3992">
        <w:rPr>
          <w:rFonts w:ascii="Calibri" w:eastAsia="Calibri" w:hAnsi="Calibri" w:cs="Calibri"/>
          <w:sz w:val="22"/>
          <w:szCs w:val="22"/>
          <w:lang w:eastAsia="en-US"/>
        </w:rPr>
        <w:t xml:space="preserve"> πρόστιμο για τις παραβάσεις.</w:t>
      </w:r>
    </w:p>
    <w:p w:rsidR="00442D57" w:rsidRPr="008C647D" w:rsidRDefault="00442D57" w:rsidP="00442D57">
      <w:pPr>
        <w:spacing w:after="60" w:line="259" w:lineRule="auto"/>
        <w:jc w:val="both"/>
        <w:rPr>
          <w:rFonts w:ascii="Calibri" w:hAnsi="Calibri" w:cs="Calibri"/>
          <w:sz w:val="22"/>
          <w:szCs w:val="22"/>
        </w:rPr>
      </w:pPr>
      <w:r w:rsidRPr="008229F9">
        <w:rPr>
          <w:rFonts w:ascii="Calibri" w:hAnsi="Calibri" w:cs="Calibri"/>
          <w:sz w:val="22"/>
          <w:szCs w:val="22"/>
        </w:rPr>
        <w:t>Διαρκούντος του ελέγχου</w:t>
      </w:r>
      <w:r>
        <w:rPr>
          <w:rFonts w:ascii="Calibri" w:hAnsi="Calibri" w:cs="Calibri"/>
          <w:sz w:val="22"/>
          <w:szCs w:val="22"/>
        </w:rPr>
        <w:t>, στις 16-05-2023</w:t>
      </w:r>
      <w:r>
        <w:rPr>
          <w:rFonts w:ascii="Calibri" w:eastAsia="Calibri" w:hAnsi="Calibri" w:cs="Calibri"/>
          <w:sz w:val="22"/>
          <w:szCs w:val="22"/>
          <w:lang w:eastAsia="en-US"/>
        </w:rPr>
        <w:t xml:space="preserve">, </w:t>
      </w:r>
      <w:r w:rsidRPr="002523B8">
        <w:rPr>
          <w:rFonts w:ascii="Calibri" w:hAnsi="Calibri" w:cs="Calibri"/>
          <w:sz w:val="22"/>
          <w:szCs w:val="22"/>
        </w:rPr>
        <w:t>πραγματοποιήθηκε</w:t>
      </w:r>
      <w:r w:rsidRPr="00245830">
        <w:rPr>
          <w:rFonts w:ascii="Calibri" w:eastAsia="Calibri" w:hAnsi="Calibri" w:cs="Calibri"/>
          <w:sz w:val="22"/>
          <w:szCs w:val="22"/>
          <w:lang w:eastAsia="en-US"/>
        </w:rPr>
        <w:t xml:space="preserve"> </w:t>
      </w:r>
      <w:r>
        <w:rPr>
          <w:rFonts w:ascii="Calibri" w:eastAsia="Calibri" w:hAnsi="Calibri" w:cs="Calibri"/>
          <w:sz w:val="22"/>
          <w:szCs w:val="22"/>
          <w:lang w:eastAsia="en-US"/>
        </w:rPr>
        <w:t>εν τέλει</w:t>
      </w:r>
      <w:r w:rsidRPr="002523B8">
        <w:rPr>
          <w:rFonts w:ascii="Calibri" w:hAnsi="Calibri" w:cs="Calibri"/>
          <w:sz w:val="22"/>
          <w:szCs w:val="22"/>
        </w:rPr>
        <w:t xml:space="preserve"> η σφράγιση της επιχείρησης</w:t>
      </w:r>
      <w:r>
        <w:rPr>
          <w:rFonts w:ascii="Calibri" w:hAnsi="Calibri" w:cs="Calibri"/>
          <w:sz w:val="22"/>
          <w:szCs w:val="22"/>
        </w:rPr>
        <w:t>, ενώ είχε προηγηθεί και η</w:t>
      </w:r>
      <w:r>
        <w:rPr>
          <w:rFonts w:asciiTheme="minorHAnsi" w:hAnsiTheme="minorHAnsi" w:cstheme="minorHAnsi"/>
          <w:sz w:val="22"/>
          <w:szCs w:val="22"/>
        </w:rPr>
        <w:t xml:space="preserve"> απορριπτική απόφαση</w:t>
      </w:r>
      <w:r w:rsidRPr="002523B8">
        <w:rPr>
          <w:rFonts w:asciiTheme="minorHAnsi" w:hAnsiTheme="minorHAnsi" w:cstheme="minorHAnsi"/>
          <w:sz w:val="22"/>
          <w:szCs w:val="22"/>
        </w:rPr>
        <w:t xml:space="preserve"> της Προέδρου Πρωτοδικών περί χορήγησης προσωρινής διαταγής αναστολής εκτέλεσης της απόφασης</w:t>
      </w:r>
      <w:r>
        <w:rPr>
          <w:rFonts w:ascii="Calibri" w:hAnsi="Calibri" w:cs="Calibri"/>
          <w:sz w:val="22"/>
          <w:szCs w:val="22"/>
        </w:rPr>
        <w:t xml:space="preserve"> σφράγισής της. </w:t>
      </w:r>
    </w:p>
    <w:p w:rsidR="006C6127" w:rsidRDefault="006C6127"/>
    <w:sectPr w:rsidR="006C6127" w:rsidSect="0049667A">
      <w:pgSz w:w="11906" w:h="16838"/>
      <w:pgMar w:top="1440"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ED2" w:rsidRDefault="00B35ED2" w:rsidP="00442D57">
      <w:r>
        <w:separator/>
      </w:r>
    </w:p>
  </w:endnote>
  <w:endnote w:type="continuationSeparator" w:id="0">
    <w:p w:rsidR="00B35ED2" w:rsidRDefault="00B35ED2" w:rsidP="004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ED2" w:rsidRDefault="00B35ED2" w:rsidP="00442D57">
      <w:r>
        <w:separator/>
      </w:r>
    </w:p>
  </w:footnote>
  <w:footnote w:type="continuationSeparator" w:id="0">
    <w:p w:rsidR="00B35ED2" w:rsidRDefault="00B35ED2" w:rsidP="00442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57"/>
    <w:rsid w:val="00442D57"/>
    <w:rsid w:val="005559BB"/>
    <w:rsid w:val="006C6127"/>
    <w:rsid w:val="00B35ED2"/>
    <w:rsid w:val="00C63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B3D0"/>
  <w15:chartTrackingRefBased/>
  <w15:docId w15:val="{DD6636D3-428D-4E75-B3E4-77A7B206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2D5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42D57"/>
    <w:pPr>
      <w:tabs>
        <w:tab w:val="center" w:pos="4513"/>
        <w:tab w:val="right" w:pos="9026"/>
      </w:tabs>
    </w:pPr>
  </w:style>
  <w:style w:type="character" w:customStyle="1" w:styleId="Char">
    <w:name w:val="Υποσέλιδο Char"/>
    <w:basedOn w:val="a0"/>
    <w:link w:val="a3"/>
    <w:uiPriority w:val="99"/>
    <w:rsid w:val="00442D57"/>
    <w:rPr>
      <w:rFonts w:ascii="Times New Roman" w:eastAsia="Times New Roman" w:hAnsi="Times New Roman" w:cs="Times New Roman"/>
      <w:sz w:val="24"/>
      <w:szCs w:val="24"/>
      <w:lang w:eastAsia="el-GR"/>
    </w:rPr>
  </w:style>
  <w:style w:type="paragraph" w:styleId="a4">
    <w:name w:val="header"/>
    <w:basedOn w:val="a"/>
    <w:link w:val="Char0"/>
    <w:uiPriority w:val="99"/>
    <w:unhideWhenUsed/>
    <w:rsid w:val="00442D57"/>
    <w:pPr>
      <w:tabs>
        <w:tab w:val="center" w:pos="4153"/>
        <w:tab w:val="right" w:pos="8306"/>
      </w:tabs>
    </w:pPr>
  </w:style>
  <w:style w:type="character" w:customStyle="1" w:styleId="Char0">
    <w:name w:val="Κεφαλίδα Char"/>
    <w:basedOn w:val="a0"/>
    <w:link w:val="a4"/>
    <w:uiPriority w:val="99"/>
    <w:rsid w:val="00442D5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3366</Characters>
  <Application>Microsoft Office Word</Application>
  <DocSecurity>0</DocSecurity>
  <Lines>28</Lines>
  <Paragraphs>7</Paragraphs>
  <ScaleCrop>false</ScaleCrop>
  <Company>ETHNIKI ARXI DIAFANEIAS</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Adamopoulou</dc:creator>
  <cp:keywords/>
  <dc:description/>
  <cp:lastModifiedBy>Lydia Adamopoulou</cp:lastModifiedBy>
  <cp:revision>4</cp:revision>
  <dcterms:created xsi:type="dcterms:W3CDTF">2023-06-13T12:13:00Z</dcterms:created>
  <dcterms:modified xsi:type="dcterms:W3CDTF">2023-06-13T12:21:00Z</dcterms:modified>
</cp:coreProperties>
</file>